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/>
        <w:t>Alan WALTER </w:t>
        <w:br/>
      </w:r>
      <w:r>
        <w:rPr>
          <w:i/>
        </w:rPr>
        <w:t>Avocat au Barreau de Paris </w:t>
      </w:r>
      <w:r>
        <w:rPr/>
        <w:br/>
        <w:t> </w:t>
        <w:br/>
        <w:t>Tél : 01 45 01 45 01 – Fax : 01 45 01 45 00 – E-mail : alan.walter@runbox.com </w:t>
        <w:br/>
        <w:t>51, rue Dumont d’Urvil e – 75116 Paris – Palais P 449 </w:t>
        <w:br/>
        <w:t> </w:t>
        <w:br/>
        <w:t> </w:t>
        <w:br/>
        <w:t>A </w:t>
        <w:br/>
        <w:t>: </w:t>
        <w:br/>
      </w:r>
      <w:r>
        <w:rPr>
          <w:b/>
        </w:rPr>
        <w:t>Stéphane Lubiarz / Jean-Paul Smets </w:t>
      </w:r>
      <w:r>
        <w:rPr/>
        <w:br/>
        <w:t> </w:t>
        <w:br/>
        <w:t> </w:t>
        <w:br/>
        <w:t> </w:t>
        <w:br/>
        <w:t>OBJET  : </w:t>
        <w:br/>
      </w:r>
      <w:r>
        <w:rPr>
          <w:b/>
        </w:rPr>
        <w:t>Cloud et sécurité des données</w:t>
      </w:r>
      <w:r>
        <w:rPr/>
        <w:t> </w:t>
        <w:br/>
        <w:t>DATE  : </w:t>
        <w:br/>
        <w:t>13 septembre 2013 </w:t>
        <w:br/>
        <w:t> </w:t>
        <w:br/>
        <w:t>Bien  avant  les  révélations  d’Edward  Snowden  et  le  scandale  « Prism »,  le  souci  de  la </w:t>
        <w:br/>
        <w:t>confidentialité des données a toujours constitué une question de premier plan les utilisateurs </w:t>
        <w:br/>
        <w:t>de l’internet. </w:t>
        <w:br/>
        <w:t>Après  les  premiers  virus  informatiques  de  grande  envergure1  et  depuis  le  début  des  années </w:t>
        <w:br/>
        <w:t>2000,  point  de  départ  de  la  généralisation  massive  de  l’internet  auprès  du  grand  public,  ont </w:t>
        <w:br/>
        <w:t>émergé  les  préoccupations  liées  à  la  sécurité  informatique,  la  cybercriminalité,  la </w:t>
        <w:br/>
        <w:t>cryptographie… </w:t>
        <w:br/>
        <w:t>Revenant  aux  principes  mêmes  de  l’internet  en  allant  jusqu’à  appliquer  la  logique  de  réseau </w:t>
        <w:br/>
        <w:t>décentralisé  aux  infrastructures  elles-mêmes,  le  Cloud  se  targue  de  pouvoir  répondre  aux </w:t>
        <w:br/>
        <w:t>exigences de sécurisation de ses clients. </w:t>
        <w:br/>
        <w:t>Néanmoins,  le  passage  d’une  informatique  aux  serveurs  physiques  et  identifiés  à  une </w:t>
        <w:br/>
        <w:t>informatique  dans  les  nuages  n’a  fait  qu’opacifier  les  mesures  et  processus  mis  en  œuvre, </w:t>
        <w:br/>
        <w:t>complexifier les questions et, </w:t>
      </w:r>
      <w:r>
        <w:rPr>
          <w:i/>
        </w:rPr>
        <w:t>in fine</w:t>
      </w:r>
      <w:r>
        <w:rPr/>
        <w:t>, aggraver la situation. </w:t>
        <w:br/>
        <w:t>Et pour cause ! L’informatique « centralisée » reposait sur une architecture simple : les données </w:t>
        <w:br/>
        <w:t>étaient  détenues  par  une  entité  unique,  implantée  dans  un  seul  pays  et  soumise  à  un  droit </w:t>
        <w:br/>
        <w:t>homogène et identifiable. La sécurité des données était alors assurée, celles-ci n’étant mises en </w:t>
        <w:br/>
        <w:t>risques que lorsqu’elles transitaient sur les réseaux. </w:t>
        <w:br/>
        <w:t>A l’inverse, dans le Cloud, en dépit d’une concentration indéniable du marché des prestataires, </w:t>
        <w:br/>
        <w:t>les  données  sont  morcelées  sur  plusieurs  infrastructures  techniques,  potentiellement  opérées </w:t>
        <w:br/>
        <w:t>par  des  prestataires  distincts,  dans  plusieurs  pays,  sous  l’empire  de  corpus  législatifs </w:t>
        <w:br/>
        <w:t>divergents. </w:t>
        <w:br/>
        <w:t>Au surplus, ces infrastructures lourdes et complexes n’étant mise en œuvres et commercialisées </w:t>
        <w:br/>
        <w:t>que par des géants de l’industrie, ces derniers ont toute latitude pour imposer leurs conditions </w:t>
        <w:br/>
        <w:t>aux utilisateurs. </w:t>
        <w:br/>
        <w:t>Ainsi, indépendamment des aspects techniques, le Cloud ne semble pas aujourd’hui en mesure </w:t>
        <w:br/>
        <w:t>d’offrir  à  ses  utilisateurs  les  garanties  satisfaisantes  au  regard  de  la  sécurité  et  de  la </w:t>
        <w:br/>
        <w:t>confidentialité de leurs données. </w:t>
        <w:br/>
        <w:t>Les développements ci-après ont pour objet l’analyse des principaux obstacles réglementaires </w:t>
        <w:br/>
        <w:t>et  contractuels  qui  contredisent  l’impression  de  sécurité  que  confère  les  offres  de  Cloud </w:t>
        <w:br/>
        <w:t>aujourd’hui disponibles. </w:t>
        <w:br/>
        <w:t>                                                        </w:t>
        <w:br/>
        <w:t>1 Notamment l’apparition de « Jérusalem » en 1987.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1 </w:t>
      </w:r>
      <w:r>
        <w:rPr/>
        <w:br/>
      </w:r>
      <w:r>
        <w:rPr>
          <w:b/>
        </w:rPr>
        <w:t>LA « SECURITE » N’EST PAS NECESSAIREMENT SYNONYME DE « SECURITE DES DONNEES » </w:t>
      </w:r>
      <w:r>
        <w:rPr/>
        <w:br/>
        <w:t>« </w:t>
      </w:r>
      <w:r>
        <w:rPr>
          <w:i/>
        </w:rPr>
        <w:t>La  sécurité  est  un  droit  fondamental</w:t>
      </w:r>
      <w:r>
        <w:rPr/>
        <w:t> »,  proclamait  l’article  1er  de  la  loi  relative  à  la  sécurité </w:t>
        <w:br/>
        <w:t>quotidienne jusqu’à son abrogation2. </w:t>
        <w:br/>
        <w:t>Mais quelle sécurité ? </w:t>
        <w:br/>
        <w:t>Probablement celle des personnes mais certainement pas celle des données. </w:t>
        <w:br/>
        <w:t>Depuis la signature de la Convention sur la cybercriminalité à Budapest le 23 novembre 2001, </w:t>
        <w:br/>
        <w:t>les pays membres du G8 ont décidé de se doter d’un arsenal juridique leur permettant de lutter </w:t>
        <w:br/>
        <w:t>contre la criminalité informatisée et la criminalité informatique, toutes deux désignées comme </w:t>
        <w:br/>
        <w:t>la « cybercriminalité »3. </w:t>
        <w:br/>
        <w:t>A  la  suite  des  évènements  du  11  septembre  2001,  les  pays  membres  du  G8  ont  formulé  un </w:t>
        <w:br/>
        <w:t>certain nombre de recommandations visant à renforcer leur présence sur le réseau et à étendre </w:t>
        <w:br/>
        <w:t>leurs facultés d’intervention. </w:t>
        <w:br/>
        <w:t>S’en  suivirent,  en  France,  un  certain  nombre  de  textes  législatifs  visant  à  assurer  à  l’Etat  un </w:t>
        <w:br/>
        <w:t>accès  rapide  et  permanent  aux  données  informatiques  des  personnes  privées  (</w:t>
      </w:r>
      <w:r>
        <w:rPr>
          <w:b/>
        </w:rPr>
        <w:t>1.1</w:t>
      </w:r>
      <w:r>
        <w:rPr/>
        <w:t>),  imposant </w:t>
        <w:br/>
        <w:t>aux prestataires techniques une obligation de conservation (</w:t>
      </w:r>
      <w:r>
        <w:rPr>
          <w:b/>
        </w:rPr>
        <w:t>1.2</w:t>
      </w:r>
      <w:r>
        <w:rPr/>
        <w:t>). </w:t>
        <w:br/>
      </w:r>
      <w:r>
        <w:rPr>
          <w:b/>
        </w:rPr>
        <w:t>1.1 </w:t>
      </w:r>
      <w:r>
        <w:rPr/>
        <w:br/>
      </w:r>
      <w:r>
        <w:rPr>
          <w:b/>
        </w:rPr>
        <w:t>Le régime d’accès aux données par les administration françaises </w:t>
      </w:r>
      <w:r>
        <w:rPr/>
        <w:br/>
        <w:t>Devant la généralisation de la cybercriminalité, le pouvoir judiciaire s’est doté de la possibilité </w:t>
        <w:br/>
        <w:t>d’intervenir sur les outils informatiques dans le cadre de toute enquête. </w:t>
        <w:br/>
      </w:r>
      <w:r>
        <w:rPr>
          <w:b/>
        </w:rPr>
        <w:t>1 -  </w:t>
      </w:r>
      <w:r>
        <w:rPr/>
        <w:t>A cette fin, l’article 56 du code de procédure pénale dispose que : </w:t>
        <w:br/>
        <w:t>« </w:t>
      </w:r>
      <w:r>
        <w:rPr>
          <w:i/>
        </w:rPr>
        <w:t>Si  la  nature  du  crime  est  telle  que  la  preuve  en  puisse  être  acquise  par  la  saisie  des  papiers, </w:t>
        <w:br/>
        <w:t>documents,  </w:t>
      </w:r>
      <w:r>
        <w:rPr>
          <w:b/>
          <w:i/>
        </w:rPr>
        <w:t>données  informatiques</w:t>
      </w:r>
      <w:r>
        <w:rPr>
          <w:i/>
        </w:rPr>
        <w:t>  ou  autres  objets  en  la  possession  des  personnes  qui </w:t>
        <w:br/>
        <w:t>paraissent avoir participé au crime ou détenir des pièces, informations ou objets relatifs aux faits </w:t>
        <w:br/>
        <w:t>incriminés,  l'officier  de  police  judiciaire  se  transporte  sans  désemparer  au  domicile  de  ces </w:t>
      </w:r>
      <w:r>
        <w:rPr/>
        <w:br/>
      </w:r>
      <w:r>
        <w:rPr>
          <w:i/>
        </w:rPr>
        <w:t>derniers pour y procéder à une perquisition dont il dresse procès-verbal</w:t>
      </w:r>
      <w:r>
        <w:rPr/>
        <w:t> ». </w:t>
        <w:br/>
        <w:t>De la même façon, dans le cadre des perquisitions et saisies, l’article 97 du code de procédure </w:t>
        <w:br/>
        <w:t>pénale dispose qu’il est possible de procéder à : </w:t>
        <w:br/>
        <w:t>« </w:t>
      </w:r>
      <w:r>
        <w:rPr>
          <w:i/>
        </w:rPr>
        <w:t>la  </w:t>
      </w:r>
      <w:r>
        <w:rPr>
          <w:b/>
          <w:i/>
        </w:rPr>
        <w:t>saisie  des  données  informatiques  nécessaires  à  la  manifestation  de  la  vérité</w:t>
      </w:r>
      <w:r>
        <w:rPr>
          <w:i/>
        </w:rPr>
        <w:t>  en </w:t>
        <w:br/>
        <w:t>plaçant sous main de justice soit le support physique de ces données, soit une copie réalisée en </w:t>
      </w:r>
      <w:r>
        <w:rPr/>
        <w:br/>
      </w:r>
      <w:r>
        <w:rPr>
          <w:i/>
        </w:rPr>
        <w:t>présence des personnes qui assistent à la perquisition</w:t>
      </w:r>
      <w:r>
        <w:rPr/>
        <w:t> ». </w:t>
        <w:br/>
        <w:t>Néanmoins, sous couvert d’extension de la lutte contre la cybercriminalité, cette faculté a été </w:t>
        <w:br/>
        <w:t>étendue, par le biais de l’article 62 de la loi de finances rectificative pour 2001, aux agents du </w:t>
        <w:br/>
        <w:t>trésor public, des douanes et de l’AMF.4 </w:t>
        <w:br/>
        <w:t>Depuis  lors,  chaque  agent  de  ces  administrations  dispose  de  la  faculté  d’exiger  la </w:t>
        <w:br/>
        <w:t>communication  de  toute  information  et  documents  auprès  des  « </w:t>
      </w:r>
      <w:r>
        <w:rPr>
          <w:i/>
        </w:rPr>
        <w:t>opérateurs  de </w:t>
        <w:br/>
        <w:t>télécommunication</w:t>
      </w:r>
      <w:r>
        <w:rPr/>
        <w:t> »5. </w:t>
        <w:br/>
        <w:t>                                                        </w:t>
        <w:br/>
        <w:t>2 Article 1er de la loi n° 95-73 du 21 janvier 1995 d'orientation et de programmation relative à la sécurité introduit par la loi </w:t>
      </w:r>
      <w:r>
        <w:rPr>
          <w:b/>
        </w:rPr>
        <w:t>n° </w:t>
      </w:r>
      <w:r>
        <w:rPr/>
        <w:t>2001-</w:t>
        <w:br/>
        <w:t>1062 du 15 novembre 2001 relative à la sécurité quotidienne et abrogé par l’ordonnance n° 2012-351 du 12 mars 2012 - art. 19 (V). </w:t>
        <w:br/>
        <w:t>3 Convention consultable à l’adresse &lt;http://conventions.coe.int/treaty/fr/Treaties/Html/185.htm&gt;. </w:t>
        <w:br/>
        <w:t>4 Article 62 de la loi n° 2001-1276 du 28 décembre 2001 de Finances rectificative pour 2001 qui a modifié l’article 65 du Code des </w:t>
        <w:br/>
        <w:t>douanes, l’article L 621-10 du Code monétaire et financier et l’article L 83 du Livre des procédures fiscales. </w:t>
        <w:br/>
        <w:t>Alan WALTER </w:t>
        <w:br/>
        <w:t>2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 convient  alors  de  s’interroger  sur  la  définition,  très  large,  de  l’« </w:t>
      </w:r>
      <w:r>
        <w:rPr>
          <w:i/>
        </w:rPr>
        <w:t>opérateur  de </w:t>
        <w:br/>
        <w:t>télécommunication</w:t>
      </w:r>
      <w:r>
        <w:rPr/>
        <w:t> »,  à  savoir  « </w:t>
      </w:r>
      <w:r>
        <w:rPr>
          <w:i/>
        </w:rPr>
        <w:t>une  entreprise  qui  fournit  ou  est  autorisée  à  fournir  un  réseau  de </w:t>
      </w:r>
      <w:r>
        <w:rPr/>
        <w:br/>
      </w:r>
      <w:r>
        <w:rPr>
          <w:i/>
        </w:rPr>
        <w:t>communications public ou une ressource associée</w:t>
      </w:r>
      <w:r>
        <w:rPr/>
        <w:t> »6. </w:t>
        <w:br/>
        <w:t>Face à la rédaction de cette définition et en particulier de la référence à une « </w:t>
      </w:r>
      <w:r>
        <w:rPr>
          <w:i/>
        </w:rPr>
        <w:t>ressource associée </w:t>
      </w:r>
      <w:r>
        <w:rPr/>
        <w:t>», </w:t>
        <w:br/>
        <w:t>force est de constater que tout acteur de l’internet, qu’il soit fournisseur d’accès, hébergeur ou </w:t>
        <w:br/>
        <w:t>même fournisseur de caching se verra soumis à ces dispositions qui permettent un accès par </w:t>
        <w:br/>
        <w:t>diverses administrations. </w:t>
        <w:br/>
      </w:r>
      <w:r>
        <w:rPr>
          <w:b/>
        </w:rPr>
        <w:t>2 -  </w:t>
      </w:r>
      <w:r>
        <w:rPr/>
        <w:t>Toutefois,  les  administrations  ne  sont  pas  seules  à  pouvoir  accéder  légalement  aux </w:t>
        <w:br/>
        <w:t>données stockées par un tiers. </w:t>
        <w:br/>
        <w:t>En  effet,  en  matière  d’atteinte  aux  droits  de  propriété  intellectuelle,  par  le  biais  de  la  saisie-</w:t>
        <w:br/>
        <w:t>contrefaçon7, ou bien, dans toutes les autres matières, par le biais de la procédure </w:t>
      </w:r>
      <w:r>
        <w:rPr>
          <w:i/>
        </w:rPr>
        <w:t>in futurum</w:t>
      </w:r>
      <w:r>
        <w:rPr/>
        <w:t>8, </w:t>
        <w:br/>
        <w:t>toute personne peut requérir du juge que soient mises en œuvre des mesures d’instruction. </w:t>
        <w:br/>
        <w:t>En  matière  de  propriété  intellectuelle  et/ou  industrielle,  ces  dispositions  légales  permettent </w:t>
        <w:br/>
        <w:t>donc, à celui qui pourra démontrer avoir un intérêt et la qualité pour agir, de voir ordonnées </w:t>
        <w:br/>
        <w:t>« </w:t>
      </w:r>
      <w:r>
        <w:rPr>
          <w:i/>
        </w:rPr>
        <w:t>toute  mesure  urgente  destinée  à  prévenir  une  atteinte  aux  droits  […]  ou  à  empêcher  la  poursuite </w:t>
      </w:r>
      <w:r>
        <w:rPr/>
        <w:br/>
      </w:r>
      <w:r>
        <w:rPr>
          <w:i/>
        </w:rPr>
        <w:t>d'actes portant prétendument atteinte à ceux-ci</w:t>
      </w:r>
      <w:r>
        <w:rPr/>
        <w:t> »9. </w:t>
        <w:br/>
        <w:t>De la même façon, dans toute autre matière, notamment dans le cadre d’un contentieux civil ou </w:t>
        <w:br/>
        <w:t>commercial, « </w:t>
      </w:r>
      <w:r>
        <w:rPr>
          <w:i/>
        </w:rPr>
        <w:t>S'il existe un motif légitime de conserver ou d'établir avant tout procès la preuve de faits </w:t>
        <w:br/>
        <w:t>dont pourrait dépendre la solution d'un litige, les mesures d'instruction légalement admissibles peuvent </w:t>
      </w:r>
      <w:r>
        <w:rPr/>
        <w:br/>
      </w:r>
      <w:r>
        <w:rPr>
          <w:i/>
        </w:rPr>
        <w:t>être ordonnées à la demande de tout intéressé</w:t>
      </w:r>
      <w:r>
        <w:rPr/>
        <w:t> »10. </w:t>
        <w:br/>
        <w:t>Ainsi,  dès  lors  que  la  compétence  des  juridictions  françaises  sera  reconnue,  toute  donnée </w:t>
        <w:br/>
        <w:t>hébergée pourra être extraite et copiée en application d’une ordonnance rendue au visa de l’un </w:t>
        <w:br/>
        <w:t>de ces textes. </w:t>
        <w:br/>
        <w:t>Il  convient  de  préciser  que,  sous  réserve  de  justifier  de  sa  demande  auprès  du  magistrat </w:t>
        <w:br/>
        <w:t>compétent,  le  demandeur  pourra  agir  sur  requête,  c’est-à-dire  en  dérogeant  au  principe  du </w:t>
        <w:br/>
        <w:t>contradictoire. </w:t>
        <w:br/>
        <w:t>Dans une telle hypothèse, ni le propriétaire ni le détenteur des données ne seront informés de </w:t>
        <w:br/>
        <w:t>la mise en œuvre d’une telle procédure. </w:t>
        <w:br/>
        <w:t>Si  le  détenteur  des  données  (le  plus  souvent  l’hébergeur)  sera  informé  de  la  mesure </w:t>
        <w:br/>
        <w:t>d’instruction lors de sa mise en œuvre, celui qui en est le propriétaire, quant à lui, pourra ne </w:t>
        <w:br/>
        <w:t>jamais être informé d’un tel accès à ses données. </w:t>
        <w:br/>
      </w:r>
      <w:r>
        <w:rPr>
          <w:b/>
        </w:rPr>
        <w:t>3 -  </w:t>
      </w:r>
      <w:r>
        <w:rPr/>
        <w:t>Tel  qu’exposé  précédemment,  les  données  stockées  par  les  prestataires  techniques  de </w:t>
        <w:br/>
        <w:t>l’économie numérique peuvent donc être l’objet d’intrusions légales par les autorités judiciaires </w:t>
        <w:br/>
        <w:t>et/ou administratives. </w:t>
        <w:br/>
        <w:t>                                                                                                                                                                                 </w:t>
        <w:br/>
        <w:t>5 On notera l’absence de mise à jour de cette disposition qui fait encore référence non seulement au terme « télécommunications » </w:t>
        <w:br/>
        <w:t>alors que celui-ci a depuis plusieurs années été remplacé par l’expression « </w:t>
      </w:r>
      <w:r>
        <w:rPr>
          <w:i/>
        </w:rPr>
        <w:t>communications électronique</w:t>
      </w:r>
      <w:r>
        <w:rPr/>
        <w:t> » mais aussi à des articles </w:t>
        <w:br/>
        <w:t>abrogés. </w:t>
        <w:br/>
        <w:t>6 Directive 2002/19/CE du Parlement Européen et du Conseil du 7 mars 2002 relative à l'accès aux réseaux de communications </w:t>
        <w:br/>
        <w:t>électroniques et aux ressources associées, ainsi qu'à leur interconnexion (directive « </w:t>
      </w:r>
      <w:r>
        <w:rPr>
          <w:i/>
        </w:rPr>
        <w:t>accès</w:t>
      </w:r>
      <w:r>
        <w:rPr/>
        <w:t> »). </w:t>
        <w:br/>
        <w:t>7 Selon que l’affaire concerne de la contrefaçon de droit d’auteur, de marque, de brevet, de logiciel et/ou de base de données, les </w:t>
        <w:br/>
        <w:t>textes applicables diffèrent mais restent similaires. </w:t>
        <w:br/>
        <w:t>8 Cf. Article 145 et suivants du code de procédure civile. </w:t>
        <w:br/>
        <w:t>9 Extrait de l’article L 343-2 du code de la propriété intellectuelle. </w:t>
        <w:br/>
        <w:t>10 Article 145 du code de procédure civile. </w:t>
        <w:br/>
        <w:t>Alan WALTER </w:t>
        <w:br/>
        <w:t>3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S’agissant des ordonnances rendues sur requête, il s’agit bien entendu d’un point ayant trait à </w:t>
        <w:br/>
        <w:t>la force exécutoire des décisions de justice et au respect des droits de la défense. En effet, dans </w:t>
        <w:br/>
        <w:t>une  telle  hypothèse,  celui  dont  les  données  sont  saisies  dispose  bien  entendu  de  voies  de </w:t>
        <w:br/>
        <w:t>recours, sous réserve qu’il ait été informé de l’identité du saisissant, ce qui peut ne pas toujours </w:t>
        <w:br/>
        <w:t>être le cas. </w:t>
        <w:br/>
        <w:t>En tout état de cause, s’agissant de ces procédures engagées devant les juridictions civiles, le </w:t>
        <w:br/>
        <w:t>saisi bénéficie d’une forme de protection du fait du contrôle exercé par le juge : la requête aux </w:t>
        <w:br/>
        <w:t>fins de saisie doit être examinée et validée par un juge, ce dernier étant tenu de s’assurer, lors </w:t>
        <w:br/>
        <w:t>dudit  examen,  que  la  dérogation  au  principe  du  contradictoire  est  justifiée  et  que  la  mesure </w:t>
        <w:br/>
        <w:t>d’instruction  sollicitée  ne  pourra  être  « </w:t>
      </w:r>
      <w:r>
        <w:rPr>
          <w:i/>
        </w:rPr>
        <w:t>un  moyen  détourné  pour  obtenir  des  informations </w:t>
      </w:r>
      <w:r>
        <w:rPr/>
        <w:br/>
      </w:r>
      <w:r>
        <w:rPr>
          <w:i/>
        </w:rPr>
        <w:t>confidentielles de son concurrent sur son activité, sa clientèle ou son savoir faire</w:t>
      </w:r>
      <w:r>
        <w:rPr/>
        <w:t> »11. </w:t>
        <w:br/>
        <w:t>Dans de telles conditions, aucune donnée stockée sur un cloud auprès d’un prestataire soumis </w:t>
        <w:br/>
        <w:t>à  la  législation  française  n’est  réellement  sécurisée :  le  prestataire  ne  pourra  refuser  de </w:t>
        <w:br/>
        <w:t>communiquer les informations requises sous peine d’engager sa responsabilité pénale. </w:t>
        <w:br/>
      </w:r>
      <w:r>
        <w:rPr>
          <w:b/>
        </w:rPr>
        <w:t>1.2 </w:t>
      </w:r>
      <w:r>
        <w:rPr/>
        <w:br/>
      </w:r>
      <w:r>
        <w:rPr>
          <w:b/>
        </w:rPr>
        <w:t>L’obligation de conservation des données imposée aux prestataires techniques </w:t>
      </w:r>
      <w:r>
        <w:rPr/>
        <w:br/>
        <w:t>L’universalité de la faculté d’accès constatée, il est nécessaire de s’interroger sur la nature des </w:t>
        <w:br/>
        <w:t>données ainsi accessibles. </w:t>
        <w:br/>
      </w:r>
      <w:r>
        <w:rPr>
          <w:b/>
        </w:rPr>
        <w:t>1 -  </w:t>
      </w:r>
      <w:r>
        <w:rPr/>
        <w:t>L’article  6  II  de  la  loi  pour  la  confiance  dans  l’économie  numérique  (« </w:t>
      </w:r>
      <w:r>
        <w:rPr>
          <w:b/>
        </w:rPr>
        <w:t>LCEN </w:t>
      </w:r>
      <w:r>
        <w:rPr/>
        <w:t>»)12  prévoit </w:t>
        <w:br/>
        <w:t>que « </w:t>
      </w:r>
      <w:r>
        <w:rPr>
          <w:i/>
        </w:rPr>
        <w:t>les</w:t>
      </w:r>
      <w:r>
        <w:rPr/>
        <w:t> [fournisseurs d’accès à internet13] </w:t>
      </w:r>
      <w:r>
        <w:rPr>
          <w:i/>
        </w:rPr>
        <w:t>et</w:t>
      </w:r>
      <w:r>
        <w:rPr/>
        <w:t> [hébergeurs14] </w:t>
      </w:r>
      <w:r>
        <w:rPr>
          <w:i/>
        </w:rPr>
        <w:t>détiennent et conservent les données de </w:t>
        <w:br/>
        <w:t>nature  à  permettre  l'identification  de  quiconque  a  contribué  à  la  création  du  contenu  ou  de  l'un  des </w:t>
      </w:r>
      <w:r>
        <w:rPr/>
        <w:br/>
      </w:r>
      <w:r>
        <w:rPr>
          <w:i/>
        </w:rPr>
        <w:t>contenus des services dont elles sont prestataires </w:t>
      </w:r>
      <w:r>
        <w:rPr/>
        <w:t>». </w:t>
        <w:br/>
        <w:t>Dans  le  même  esprit  que  la  définition  des  opérateurs  de  communications  électroniques,  la </w:t>
        <w:br/>
        <w:t>définition des hébergeurs est suffisamment large pour englober non seulement les hébergeurs </w:t>
        <w:br/>
        <w:t>de sites web mais également tous les hébergeurs de solutions en ligne, cloud compris. </w:t>
        <w:br/>
        <w:t>Cette obligation de conservation assure bien entendu l’efficacité des dispositions précitées (cf. </w:t>
        <w:br/>
      </w:r>
      <w:r>
        <w:rPr>
          <w:b/>
        </w:rPr>
        <w:t>Erreur ! Source du renvoi introuvable.</w:t>
      </w:r>
      <w:r>
        <w:rPr/>
        <w:t>). </w:t>
        <w:br/>
      </w:r>
      <w:r>
        <w:rPr>
          <w:b/>
        </w:rPr>
        <w:t>2 -  </w:t>
      </w:r>
      <w:r>
        <w:rPr/>
        <w:t>L’article 6 II de la LCEN est complété par les dispositions d’un décret </w:t>
      </w:r>
      <w:r>
        <w:rPr>
          <w:i/>
        </w:rPr>
        <w:t>ad hoc</w:t>
      </w:r>
      <w:r>
        <w:rPr/>
        <w:t>15, l’article 1 2° </w:t>
        <w:br/>
        <w:t>duquel précise que les hébergeurs doivent conserver : </w:t>
        <w:br/>
        <w:t>« </w:t>
      </w:r>
      <w:r>
        <w:rPr>
          <w:i/>
        </w:rPr>
        <w:t>a) L'identifiant de la connexion à l'origine de la communication ; </w:t>
      </w:r>
      <w:r>
        <w:rPr/>
        <w:br/>
      </w:r>
      <w:r>
        <w:rPr>
          <w:i/>
        </w:rPr>
        <w:t>b) L'identifiant attribué par le système d'information au contenu, objet de l'opération ; </w:t>
      </w:r>
      <w:r>
        <w:rPr/>
        <w:br/>
      </w:r>
      <w:r>
        <w:rPr>
          <w:i/>
        </w:rPr>
        <w:t>c) Les types de protocoles utilisés pour la connexion au service et pour le transfert des contenus ; </w:t>
      </w:r>
      <w:r>
        <w:rPr/>
        <w:br/>
      </w:r>
      <w:r>
        <w:rPr>
          <w:i/>
        </w:rPr>
        <w:t>d) La nature de l'opération ; </w:t>
      </w:r>
      <w:r>
        <w:rPr/>
        <w:br/>
        <w:t>                                                        </w:t>
        <w:br/>
        <w:t>11  TC  Châteauroux,  24  jan.  2007,  RG :  2006/882,  à  rapprocher  de  Cour  d’appel  de  Paris  –  Pôle  1  Chambre  4  –  11  mars  2010 </w:t>
        <w:br/>
        <w:t>n°0913381 s’agissant d’un huissier qui excède les limites de sa mission et ainsi aggrave le risque d’atteinte à la confidentialité des </w:t>
        <w:br/>
        <w:t>donnés informatiques copiées. </w:t>
        <w:br/>
        <w:t>12 Loi n° 2004-575 du 21 juin 2004 pour la confiance dans l'économie numérique. </w:t>
        <w:br/>
        <w:t>13 Définis comme « </w:t>
      </w:r>
      <w:r>
        <w:rPr>
          <w:i/>
        </w:rPr>
        <w:t>Les personnes dont l'activité est d'offrir un accès à des services de communication au public en ligne</w:t>
      </w:r>
      <w:r>
        <w:rPr/>
        <w:t> » (Article 6 I 1° de </w:t>
        <w:br/>
        <w:t>la LCEN). </w:t>
        <w:br/>
        <w:t>14 Définis comme « </w:t>
      </w:r>
      <w:r>
        <w:rPr>
          <w:i/>
        </w:rPr>
        <w:t>Les personnes physiques ou morales qui assurent, même à titre gratuit, pour mise à disposition du public par des services </w:t>
        <w:br/>
        <w:t>de  communication  au  public  en  ligne,  le  stockage  de  signaux,  d'écrits,  d'images,  de  sons  ou  de  messages  de  toute  nature  fournis  par  des </w:t>
        <w:br/>
        <w:t>destinataires de ces services </w:t>
      </w:r>
      <w:r>
        <w:rPr/>
        <w:t>» (Article 6 I 2° de la LCEN). </w:t>
        <w:br/>
        <w:t>15 Décret n° 2011-219 du 25 février 2011 relatif à la conservation et à la communication des données permettant d'identifier toute </w:t>
        <w:br/>
        <w:t>personne ayant contribué à la création d'un contenu mis en ligne. </w:t>
        <w:br/>
        <w:t>Alan WALTER </w:t>
        <w:br/>
        <w:t>4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4" w:name="5"/>
      <w:bookmarkEnd w:id="4"/>
      <w:r>
        <w:rPr/>
        <w:drawing>
          <wp:inline distT="0" distB="0" distL="0" distR="0">
            <wp:extent cx="720090" cy="36004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i/>
        </w:rPr>
        <w:t>e) Les date et heure de l'opération ; </w:t>
      </w:r>
      <w:r>
        <w:rPr/>
        <w:br/>
      </w:r>
      <w:r>
        <w:rPr>
          <w:i/>
        </w:rPr>
        <w:t>f) L'identifiant utilisé par l'auteur de l'opération lorsque celui-ci l'a fourni</w:t>
      </w:r>
      <w:r>
        <w:rPr/>
        <w:t> ». </w:t>
        <w:br/>
        <w:t>Au surplus, l’article 1 3° de ce décret, afin de s’assurer de la capacité à identifier le propriétaire </w:t>
        <w:br/>
        <w:t>des  informations  détenues,  impose  également  aux  hébergeurs,  lors  de  la  souscription  du </w:t>
        <w:br/>
        <w:t>contrat, de recueillir : </w:t>
        <w:br/>
        <w:t>« </w:t>
      </w:r>
      <w:r>
        <w:rPr>
          <w:i/>
        </w:rPr>
        <w:t>a) Au moment de la création du compte, l'identifiant de cette connexion ; </w:t>
      </w:r>
      <w:r>
        <w:rPr/>
        <w:br/>
      </w:r>
      <w:r>
        <w:rPr>
          <w:i/>
        </w:rPr>
        <w:t>b) Les nom et prénom ou la raison sociale ; </w:t>
      </w:r>
      <w:r>
        <w:rPr/>
        <w:br/>
      </w:r>
      <w:r>
        <w:rPr>
          <w:i/>
        </w:rPr>
        <w:t>c) Les adresses postales associées ; </w:t>
      </w:r>
      <w:r>
        <w:rPr/>
        <w:br/>
      </w:r>
      <w:r>
        <w:rPr>
          <w:i/>
        </w:rPr>
        <w:t>d) Les pseudonymes utilisés ; </w:t>
      </w:r>
      <w:r>
        <w:rPr/>
        <w:br/>
      </w:r>
      <w:r>
        <w:rPr>
          <w:i/>
        </w:rPr>
        <w:t>e) Les adresses de courrier électronique ou de compte associées ; </w:t>
      </w:r>
      <w:r>
        <w:rPr/>
        <w:br/>
      </w:r>
      <w:r>
        <w:rPr>
          <w:i/>
        </w:rPr>
        <w:t>f) Les numéros de téléphone ; </w:t>
      </w:r>
      <w:r>
        <w:rPr/>
        <w:br/>
      </w:r>
      <w:r>
        <w:rPr>
          <w:i/>
        </w:rPr>
        <w:t>g) Le mot de passe ainsi que les données permettant de le vérifier ou de le modifier, dans leur </w:t>
        <w:br/>
        <w:t>dernière version mise à jour</w:t>
      </w:r>
      <w:r>
        <w:rPr/>
        <w:t> ». </w:t>
        <w:br/>
        <w:t>On  remarquera  bien  entendu  en  particulier  les  stipulations  de  l’alinéa  g)  qui  imposent  que </w:t>
        <w:br/>
        <w:t>soient conservés le mot de passe ainsi que les moyens de le modifier et/ou de la vérifier. </w:t>
        <w:br/>
        <w:t>Sur ce point, la conservation de la « question secrète » ne pose pas question. Toutefois, il n’en </w:t>
        <w:br/>
        <w:t>va pas de même pour la conservation du mot de passe en lui-même. Cette conservation pose en </w:t>
        <w:br/>
        <w:t>effet un double problème : d’abord de capacité technique mais aussi et surtout de respect de la </w:t>
        <w:br/>
        <w:t>vie privée. </w:t>
        <w:br/>
        <w:t>Sur  le  plan  de  la  vie  privée,  il  apparaît  parfaitement  choquant  qu’un  prestataire  technique </w:t>
        <w:br/>
        <w:t>conserve,  en  clair,  le  mot  de  passe  de  ses  utilisateurs  et,  pis  encore,  soit  contraint  de  le </w:t>
        <w:br/>
        <w:t>communiquer si la demande lui en était faite. </w:t>
        <w:br/>
        <w:t>La  pertinence  de  cette  disposition  peut  être  discutée  dans  la  mesure  où,  sur  réquisition,  tout </w:t>
        <w:br/>
        <w:t>prestataire  est  tenu  de  fournir  les  données  qu’il  détient.  Ainsi,  quelle  peut  être  l’utilité  de  la </w:t>
        <w:br/>
        <w:t>conservation  des  mots  de  passe,  si  ce  n’est  leur  éventuelle  utilisation  pour  accéder  à  des </w:t>
        <w:br/>
        <w:t>services qui seraient hors du champ d’action des dispositions légales permettant un accès aux </w:t>
        <w:br/>
        <w:t>données fondé ? </w:t>
        <w:br/>
      </w:r>
      <w:r>
        <w:rPr>
          <w:b/>
        </w:rPr>
        <w:t>3 -  </w:t>
      </w:r>
      <w:r>
        <w:rPr/>
        <w:t>En  tout  état  de  cause,  il  est  par  ailleurs  précisé  par  l’article  3  de  ce  même  décret  que  les </w:t>
        <w:br/>
        <w:t>données sont conservées pendant une durée d’un an. </w:t>
        <w:br/>
      </w:r>
      <w:r>
        <w:rPr>
          <w:b/>
        </w:rPr>
        <w:t>4 -  </w:t>
      </w:r>
      <w:r>
        <w:rPr/>
        <w:t>Par ces dispositions, fortement critiquées lors de leur adoption, les pouvoirs public se sont </w:t>
        <w:br/>
        <w:t>assurés, tant pour les personnes privées que pour les administrations d’Etat, de la possibilité de </w:t>
        <w:br/>
        <w:t>saisir tout contenu accessible en ligne et de pouvoir en identifier l’auteur. </w:t>
        <w:br/>
        <w:t>Cette obligation qui pèse sur les hébergeurs, couplée aux facultés d’accès aux données qui sont </w:t>
        <w:br/>
        <w:t>ouvertes  tant  aux  personnes  publiques  qu’aux  personnes  privées  permettent  de  douter  avec </w:t>
        <w:br/>
        <w:t>force  de  la  sécurité  réellement  possible  s’agissant  de  l’accès  par  des  tiers  aux  données </w:t>
        <w:br/>
        <w:t>hébergées dans un cloud. </w:t>
        <w:br/>
        <w:t>Alan WALTER </w:t>
        <w:br/>
        <w:t>5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5" w:name="6"/>
      <w:bookmarkEnd w:id="5"/>
      <w:r>
        <w:rPr/>
        <w:drawing>
          <wp:inline distT="0" distB="0" distL="0" distR="0">
            <wp:extent cx="720090" cy="36004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2 </w:t>
      </w:r>
      <w:r>
        <w:rPr/>
        <w:br/>
      </w:r>
      <w:r>
        <w:rPr>
          <w:b/>
        </w:rPr>
        <w:t>CLAUSE  CONTRACTUELLES  ET  SECURITE  DES  DONNEES  OU  « COMMENT  NE  RIEN </w:t>
        <w:br/>
        <w:t>PROMETTRE » </w:t>
      </w:r>
      <w:r>
        <w:rPr/>
        <w:br/>
        <w:t>Il est usuel dans le milieu de l’informatique de négocier ses différents contrats, étant entendu </w:t>
        <w:br/>
        <w:t>que tant le client que le prestataire tenteront chacun de protéger leurs intérêts au mieux, sans </w:t>
        <w:br/>
        <w:t>pour autant nuire à l’équilibre général de la relation contractuelle. </w:t>
        <w:br/>
        <w:t>Dans le domaine du cloud, nombre de contrats se révèlent être contrats d’adhésion sur lesquels </w:t>
        <w:br/>
        <w:t>le client n’a pas de prise16. </w:t>
        <w:br/>
        <w:t>Une  analyse  de  ces  contrats  permet  aisément  de  démontrer  que  le  prestataire  n’offre  aucune </w:t>
        <w:br/>
        <w:t>garantie,  en  particulier  au  regard  de  la  conservation  des  données  (</w:t>
      </w:r>
      <w:r>
        <w:rPr>
          <w:b/>
        </w:rPr>
        <w:t>2.1</w:t>
      </w:r>
      <w:r>
        <w:rPr/>
        <w:t>)  et  exclut  autant  que </w:t>
        <w:br/>
        <w:t>possible  sa  responsabilité  (</w:t>
      </w:r>
      <w:r>
        <w:rPr>
          <w:b/>
        </w:rPr>
        <w:t>2.2</w:t>
      </w:r>
      <w:r>
        <w:rPr/>
        <w:t>),  ce  que  les  tribunaux  français  ont  été  amenés  à  valider  dans </w:t>
        <w:br/>
        <w:t>certaines conditions (Erreur ! Source du renvoi introuvable.). </w:t>
        <w:br/>
      </w:r>
      <w:r>
        <w:rPr>
          <w:b/>
        </w:rPr>
        <w:t>2.1 </w:t>
      </w:r>
      <w:r>
        <w:rPr/>
        <w:br/>
      </w:r>
      <w:r>
        <w:rPr>
          <w:b/>
        </w:rPr>
        <w:t>Exclusions de garantie </w:t>
      </w:r>
      <w:r>
        <w:rPr/>
        <w:br/>
        <w:t>Une analyse des conditions générales de services des principaux prestataires de Cloud permet </w:t>
        <w:br/>
        <w:t>de relever que les garanties fournies en standard sont quasi-inexistantes. </w:t>
        <w:br/>
      </w:r>
      <w:r>
        <w:rPr>
          <w:i/>
        </w:rPr>
        <w:t>2.1.1  Exclusion générale de toutes les garanties non prévues au contrat </w:t>
      </w:r>
      <w:r>
        <w:rPr/>
        <w:br/>
        <w:t>Il  convient  de  constater  que,  parmi  les  contrats  analysés,  la  totalité  exclu  les  garanties </w:t>
        <w:br/>
        <w:t>suivantes : </w:t>
        <w:br/>
      </w:r>
      <w:r>
        <w:rPr>
          <w:b/>
        </w:rPr>
        <w:t>1 -  </w:t>
      </w:r>
      <w:r>
        <w:rPr/>
        <w:t>“</w:t>
      </w:r>
      <w:r>
        <w:rPr>
          <w:i/>
        </w:rPr>
        <w:t>merchantability</w:t>
      </w:r>
      <w:r>
        <w:rPr/>
        <w:t>”,  généralement  usitée  dans  les  seuls  contrats  de  droit  anglo-saxon,  cette </w:t>
        <w:br/>
        <w:t>garantie  vise  les  qualités  du  produit  et  leur  respect  des  standards  en  vigueur  permettant  sa </w:t>
        <w:br/>
        <w:t>mise sur le marché. </w:t>
        <w:br/>
        <w:t>L’exclusion de cette garantie pourra permettre au prestataire, dans l’hypothèse où son produit </w:t>
        <w:br/>
        <w:t>ne  serait  pas  jugé  conforme  aux  standards  du  marché,  d’exclure  tout  ou  partie  de  sa </w:t>
        <w:br/>
        <w:t>responsabilité vis-à-vis du client. </w:t>
        <w:br/>
      </w:r>
      <w:r>
        <w:rPr>
          <w:b/>
        </w:rPr>
        <w:t>2 -  </w:t>
      </w:r>
      <w:r>
        <w:rPr/>
        <w:t>“</w:t>
      </w:r>
      <w:r>
        <w:rPr>
          <w:i/>
        </w:rPr>
        <w:t>fitness for [a particular] purpose</w:t>
      </w:r>
      <w:r>
        <w:rPr/>
        <w:t>” qui protégé le prestataire dans l’hypothèse où le service </w:t>
        <w:br/>
        <w:t>fourni ne serait pas en adéquation avec les besoins du client. </w:t>
        <w:br/>
        <w:t>De  manière  générale,  le  vendeur  professionnel17,  en  tant  que  « </w:t>
      </w:r>
      <w:r>
        <w:rPr>
          <w:i/>
        </w:rPr>
        <w:t>sachant</w:t>
      </w:r>
      <w:r>
        <w:rPr/>
        <w:t> »,  est  tenu  à  une </w:t>
        <w:br/>
        <w:t>obligation de conseil. En effet, la jurisprudence constante considère que : « </w:t>
      </w:r>
      <w:r>
        <w:rPr>
          <w:i/>
        </w:rPr>
        <w:t>tout vendeur doit, afin </w:t>
        <w:br/>
        <w:t>que  la  vente  soit  conclue  en  connaissance  de  cause,  s'informer  des  besoins  de  l'acheteur  et  informer </w:t>
        <w:br/>
        <w:t>ensuite  celui-ci  des  contraintes  techniques  de  la  chose  vendue  et  de  son  aptitude  à  atteindre  le  but </w:t>
      </w:r>
      <w:r>
        <w:rPr/>
        <w:br/>
      </w:r>
      <w:r>
        <w:rPr>
          <w:i/>
        </w:rPr>
        <w:t>recherché </w:t>
      </w:r>
      <w:r>
        <w:rPr/>
        <w:t>»18. </w:t>
        <w:br/>
        <w:t>En  excluant  cette  garantie,  le  prestataire  édulcore  son  obligation  d’information,  limitant  ainsi </w:t>
        <w:br/>
        <w:t>les possibilités de recours pour les clients. </w:t>
        <w:br/>
      </w:r>
      <w:r>
        <w:rPr>
          <w:b/>
        </w:rPr>
        <w:t>3 -  </w:t>
      </w:r>
      <w:r>
        <w:rPr/>
        <w:t>“</w:t>
      </w:r>
      <w:r>
        <w:rPr>
          <w:i/>
        </w:rPr>
        <w:t>satisfactory  quality</w:t>
      </w:r>
      <w:r>
        <w:rPr/>
        <w:t>”,  probablement  l’exclusion  la  plus  surprenante,  par  laquelle  le </w:t>
        <w:br/>
        <w:t>prestataire  indique,  sans  ambiguïté,  que  son  service  pourrait  ne  pas  être  d’une  qualité  jugée </w:t>
        <w:br/>
        <w:t>« satisfaisante ». </w:t>
        <w:br/>
        <w:t>                                                        </w:t>
        <w:br/>
        <w:t>16 Il a été procédé à l’analyse des conditions générales des services suivants : « </w:t>
      </w:r>
      <w:r>
        <w:rPr>
          <w:i/>
        </w:rPr>
        <w:t>Cloud Terms of Service RackSpace US</w:t>
      </w:r>
      <w:r>
        <w:rPr/>
        <w:t> » ; « </w:t>
      </w:r>
      <w:r>
        <w:rPr>
          <w:i/>
        </w:rPr>
        <w:t>CloudSigma </w:t>
        <w:br/>
        <w:t>Terms of Service</w:t>
      </w:r>
      <w:r>
        <w:rPr/>
        <w:t> » et « </w:t>
      </w:r>
      <w:r>
        <w:rPr>
          <w:i/>
        </w:rPr>
        <w:t>Amazon Web Services Customer Agreement</w:t>
      </w:r>
      <w:r>
        <w:rPr/>
        <w:t> ». </w:t>
        <w:br/>
        <w:t>17 La notion de « vendeur » est ici entendue au sens large et pas seulement dans son acception stricte de « </w:t>
      </w:r>
      <w:r>
        <w:rPr>
          <w:i/>
        </w:rPr>
        <w:t>transfert de propriété</w:t>
      </w:r>
      <w:r>
        <w:rPr/>
        <w:t> ». </w:t>
        <w:br/>
        <w:t>Ainsi,  l’obligation  de  conseil  pourra  être  invoquée  dans  le  cadre  d’une  licence  de  logiciel  ou  bien  d’un  contrat  de  prestation  de </w:t>
        <w:br/>
        <w:t>services. </w:t>
        <w:br/>
        <w:t>18 Cass. com., 5 janv. 1999 ; pourvoi n° 96-16521. </w:t>
        <w:br/>
        <w:t>Alan WALTER </w:t>
        <w:br/>
        <w:t>6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6" w:name="7"/>
      <w:bookmarkEnd w:id="6"/>
      <w:r>
        <w:rPr/>
        <w:drawing>
          <wp:inline distT="0" distB="0" distL="0" distR="0">
            <wp:extent cx="720090" cy="360045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convient ici de renvoyer à la notion d’obligations essentielles. En effet, si le prestataire venait, </w:t>
        <w:br/>
        <w:t>par le truchement de cette clause, à vider le contrat de se substance de sorte qu’il ne serait plus </w:t>
        <w:br/>
        <w:t>tenu à aucun engagement, le droit français tendrait à l’annulation de cette stipulation. </w:t>
        <w:br/>
        <w:t>Néanmoins, dans l’hypothèse de l’application d’un droit étranger, il ne peut être préjuge de la </w:t>
        <w:br/>
        <w:t>validité  ou  de  l’invalidité  d’une  telle  clause,  laquelle  pourrait  s’avérer  dévastatrice  pour  un </w:t>
        <w:br/>
        <w:t>client qui souhaiterait engager une action à l’encontre de son prestataire. </w:t>
        <w:br/>
      </w:r>
      <w:r>
        <w:rPr>
          <w:b/>
        </w:rPr>
        <w:t>4 -  </w:t>
      </w:r>
      <w:r>
        <w:rPr/>
        <w:t>“</w:t>
      </w:r>
      <w:r>
        <w:rPr>
          <w:i/>
        </w:rPr>
        <w:t>quiet  enjoyment</w:t>
      </w:r>
      <w:r>
        <w:rPr/>
        <w:t>”  et  “</w:t>
      </w:r>
      <w:r>
        <w:rPr>
          <w:i/>
        </w:rPr>
        <w:t>non-infringement</w:t>
      </w:r>
      <w:r>
        <w:rPr/>
        <w:t>” :  il  s’agit  ici  de  la  garantie  d’éviction  et  de  son </w:t>
        <w:br/>
        <w:t>pendant en matière de propriété intellectuelle ; la garantie de contrefaçon. </w:t>
        <w:br/>
        <w:t>Ces garanties permettent au client d’avoir un recours dans l’hypothèse où les éléments qui lui </w:t>
        <w:br/>
        <w:t>sont  fournis  (i.e.  services,  logiciels,  documentation…)  en  application  du  contrat  porteraient </w:t>
        <w:br/>
        <w:t>atteinte  aux  droits  de  tiers  (e.g.  contrefaçon,  concurrence  déloyale…).  Même  si  elle  n’a  pas </w:t>
        <w:br/>
        <w:t>directement trait aux données des utilisateurs, elle permet d’assurer une continuité de service </w:t>
        <w:br/>
        <w:t>dans l’éventualité visée ci-avant. </w:t>
        <w:br/>
        <w:t>En l’absence d’une telle garantie, le client n’aura que très peu de recours à sa disposition dans </w:t>
        <w:br/>
        <w:t>l’hypothèse  d’une  action  dirigée  par  un  tiers  qui  considèrerait  que  le  produit  en  cause  porte </w:t>
        <w:br/>
        <w:t>atteinte à ses droits. </w:t>
        <w:br/>
      </w:r>
      <w:r>
        <w:rPr>
          <w:b/>
        </w:rPr>
        <w:t>5 -  </w:t>
      </w:r>
      <w:r>
        <w:rPr/>
        <w:t>De  la  même  façon,  il  est  généralement  indiqué  que  le  service  ne  sera  pas  ininterrompu </w:t>
        <w:br/>
        <w:t>et/ou exempt de bugs et erreurs. </w:t>
        <w:br/>
        <w:t>Lorsque  la  prestation  concerne  la  seule  délivrance  d’un  logiciel  (à  l’exclusion  de  toute  autre </w:t>
        <w:br/>
        <w:t>prestation  ou  fourniture  de  matériel  associés),  ce  qui  empêche  de  qualifier  le  contrat  de </w:t>
        <w:br/>
        <w:t>« vente », la jurisprudence admet que la présence de « bugs » est inhérente à la matière19. </w:t>
        <w:br/>
        <w:t>Ainsi,  sauf  à  démontrer  que  le  contrat  pouvait  être  qualifié  de  vente  ou  bien  à  invoquer  un </w:t>
        <w:br/>
        <w:t>engagement contractuel spécifique, une exclusion de garantie relative à la subsistance de bugs </w:t>
        <w:br/>
        <w:t>reste valables, laissant le client à la merci d’une action corrective du prestataire. </w:t>
        <w:br/>
      </w:r>
      <w:r>
        <w:rPr>
          <w:i/>
        </w:rPr>
        <w:t>2.1.2  Exclusion de toute garantie relative aux données </w:t>
      </w:r>
      <w:r>
        <w:rPr/>
        <w:br/>
        <w:t>De  manière  bien  plus  spécifique,  il  convient  de  relever  que  les  contrats  étudiés  excluent  de </w:t>
        <w:br/>
        <w:t>manière systématique toute obligation relative aux données. </w:t>
        <w:br/>
        <w:t>Quelques exemples de clause permettent d’appréhender l’étendue de ces exclusions : </w:t>
        <w:br/>
        <w:t>-  “</w:t>
      </w:r>
      <w:r>
        <w:rPr>
          <w:i/>
        </w:rPr>
        <w:t>to be </w:t>
      </w:r>
      <w:r>
        <w:rPr>
          <w:b/>
          <w:i/>
        </w:rPr>
        <w:t>solely and entirely responsible for maintaining at least one current backup copy </w:t>
      </w:r>
      <w:r>
        <w:rPr/>
        <w:br/>
      </w:r>
      <w:r>
        <w:rPr>
          <w:b/>
          <w:i/>
        </w:rPr>
        <w:t>outside  of  CloudSigma’s  network  of  all  data  </w:t>
      </w:r>
      <w:r>
        <w:rPr>
          <w:i/>
        </w:rPr>
        <w:t>(including  but  not  limited  to  operating </w:t>
        <w:br/>
        <w:t>systems, content and programs) stored on CloudSigma’s network to ensure that the potential for </w:t>
      </w:r>
      <w:r>
        <w:rPr/>
        <w:br/>
      </w:r>
      <w:r>
        <w:rPr>
          <w:i/>
        </w:rPr>
        <w:t>losses is mitigated</w:t>
      </w:r>
      <w:r>
        <w:rPr/>
        <w:t>” ; </w:t>
        <w:br/>
        <w:t>-  “</w:t>
      </w:r>
      <w:r>
        <w:rPr>
          <w:i/>
        </w:rPr>
        <w:t>We make no representations or warranties that the Services will be […] secure or that </w:t>
      </w:r>
      <w:r>
        <w:rPr>
          <w:b/>
          <w:i/>
        </w:rPr>
        <w:t>data </w:t>
      </w:r>
      <w:r>
        <w:rPr/>
        <w:br/>
      </w:r>
      <w:r>
        <w:rPr>
          <w:b/>
          <w:i/>
        </w:rPr>
        <w:t>stored using the Services will be secure or otherwise safe from loss or damage</w:t>
      </w:r>
      <w:r>
        <w:rPr/>
        <w:t>” ; </w:t>
        <w:br/>
        <w:t>-  “</w:t>
      </w:r>
      <w:r>
        <w:rPr>
          <w:b/>
          <w:i/>
        </w:rPr>
        <w:t>You  are  responsible  for  </w:t>
      </w:r>
      <w:r>
        <w:rPr>
          <w:i/>
        </w:rPr>
        <w:t>properly  configuring  and  using  the  Service  Offerings  and  </w:t>
      </w:r>
      <w:r>
        <w:rPr>
          <w:b/>
          <w:i/>
        </w:rPr>
        <w:t>taking </w:t>
      </w:r>
      <w:r>
        <w:rPr/>
        <w:br/>
      </w:r>
      <w:r>
        <w:rPr>
          <w:b/>
          <w:i/>
        </w:rPr>
        <w:t>your  own  steps  to  maintain  appropriate  security,  protection  and  backup  of  Your </w:t>
        <w:br/>
        <w:t>Content</w:t>
      </w:r>
      <w:r>
        <w:rPr>
          <w:i/>
        </w:rPr>
        <w:t>,  which  may  include  the  use  of  encryption  technology  to  protect  Your  Content  from </w:t>
      </w:r>
      <w:r>
        <w:rPr/>
        <w:br/>
      </w:r>
      <w:r>
        <w:rPr>
          <w:i/>
        </w:rPr>
        <w:t>unauthorized access and routine archiving Your Content</w:t>
      </w:r>
      <w:r>
        <w:rPr/>
        <w:t>” ; </w:t>
        <w:br/>
        <w:t>                                                        </w:t>
        <w:br/>
        <w:t>19 CA Paris 5e Ch. 7-2-1986, Caisse de retraite des notaires c/ MAP Informatique : Expertises 1986 n°87 p.235. </w:t>
        <w:br/>
        <w:t>Alan WALTER </w:t>
        <w:br/>
        <w:t>7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7" w:name="8"/>
      <w:bookmarkEnd w:id="7"/>
      <w:r>
        <w:rPr/>
        <w:drawing>
          <wp:inline distT="0" distB="0" distL="0" distR="0">
            <wp:extent cx="720090" cy="36004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-  “</w:t>
      </w:r>
      <w:r>
        <w:rPr>
          <w:b/>
          <w:i/>
        </w:rPr>
        <w:t>Any unauthorized access to, alteration of, or the deletion, destruction, damage, loss or </w:t>
      </w:r>
      <w:r>
        <w:rPr/>
        <w:br/>
      </w:r>
      <w:r>
        <w:rPr>
          <w:b/>
          <w:i/>
        </w:rPr>
        <w:t>failure to store any of your content or other data</w:t>
      </w:r>
      <w:r>
        <w:rPr/>
        <w:t>” ; </w:t>
        <w:br/>
        <w:t>-  “</w:t>
      </w:r>
      <w:r>
        <w:rPr>
          <w:i/>
        </w:rPr>
        <w:t>You acknowledge that </w:t>
      </w:r>
      <w:r>
        <w:rPr>
          <w:b/>
          <w:i/>
        </w:rPr>
        <w:t>there are risks inherent in Internet connectivity that could result </w:t>
      </w:r>
      <w:r>
        <w:rPr/>
        <w:br/>
      </w:r>
      <w:r>
        <w:rPr>
          <w:b/>
          <w:i/>
        </w:rPr>
        <w:t>in the loss of your privacy, Customer Data, Confidential Information</w:t>
      </w:r>
      <w:r>
        <w:rPr>
          <w:i/>
        </w:rPr>
        <w:t>, and property</w:t>
      </w:r>
      <w:r>
        <w:rPr/>
        <w:t>”. </w:t>
        <w:br/>
        <w:t>Le client étant informé dès la conclusion du contrat qu’aucun garantie n’est prise et que toute </w:t>
        <w:br/>
        <w:t>responsabilité  est  exclue  relativement  à  ses  données,  il  ne  pourra  que  très  difficilement </w:t>
        <w:br/>
        <w:t>recherché la responsabilité du prestataire de ce fait. </w:t>
        <w:br/>
        <w:t>L’insertion  de  cette  clause  rend  nulle  ou  difficilement  applicable  tout  autre  engagement  pris </w:t>
        <w:br/>
        <w:t>par le prestataire en terme de qualité de services. </w:t>
        <w:br/>
      </w:r>
      <w:r>
        <w:rPr>
          <w:b/>
        </w:rPr>
        <w:t>2.2 </w:t>
      </w:r>
      <w:r>
        <w:rPr/>
        <w:br/>
      </w:r>
      <w:r>
        <w:rPr>
          <w:b/>
        </w:rPr>
        <w:t>Limitation de responsabilité </w:t>
      </w:r>
      <w:r>
        <w:rPr/>
        <w:br/>
      </w:r>
      <w:r>
        <w:rPr>
          <w:b/>
        </w:rPr>
        <w:t>1 -  </w:t>
      </w:r>
      <w:r>
        <w:rPr/>
        <w:t>Les  prestataires  n’hésitent  pas  à  limiter  voire  exclure  totalement  leur  responsabilité  aux </w:t>
        <w:br/>
        <w:t>termes des différents contrats. </w:t>
        <w:br/>
        <w:t>Pour  ce  faire,  ils  peuvent  (i)  exclure  leur  responsabilité  en  cas  de  survenance  de  certains </w:t>
        <w:br/>
        <w:t>dommages  listés  au  contrat,  (ii)  prévoir  que  le  service  est  fourni  « en  l’état »,  excluant  ainsi </w:t>
        <w:br/>
        <w:t>totalement la mise en jeu de leur responsabilité ; ou bien (iii) en limitant par avance le montant </w:t>
        <w:br/>
        <w:t>des dommages et intérêts qu’ils sont susceptibles de verser en cas de condamnation. </w:t>
        <w:br/>
      </w:r>
      <w:r>
        <w:rPr>
          <w:b/>
        </w:rPr>
        <w:t>2 -  </w:t>
      </w:r>
      <w:r>
        <w:rPr/>
        <w:t>Quelques exemples parmi les plus parlants : </w:t>
        <w:br/>
        <w:t>-  « </w:t>
      </w:r>
      <w:r>
        <w:rPr>
          <w:i/>
        </w:rPr>
        <w:t>the immediately preceding month in which the event (or first in a series of connected events) </w:t>
      </w:r>
      <w:r>
        <w:rPr/>
        <w:br/>
      </w:r>
      <w:r>
        <w:rPr>
          <w:i/>
        </w:rPr>
        <w:t>occurred</w:t>
      </w:r>
      <w:r>
        <w:rPr/>
        <w:t>” ; </w:t>
        <w:br/>
        <w:t>-  “</w:t>
      </w:r>
      <w:r>
        <w:rPr>
          <w:i/>
        </w:rPr>
        <w:t>The service offerings are provided “as is”</w:t>
      </w:r>
      <w:r>
        <w:rPr/>
        <w:t>.” ; </w:t>
        <w:br/>
        <w:t>-  “</w:t>
      </w:r>
      <w:r>
        <w:rPr>
          <w:i/>
        </w:rPr>
        <w:t>we and our affiliates or licensors will not be liable to you for any direct, indirect, incidental, </w:t>
      </w:r>
      <w:r>
        <w:rPr/>
        <w:br/>
      </w:r>
      <w:r>
        <w:rPr>
          <w:i/>
        </w:rPr>
        <w:t>special,  consequential  or  exemplary  damages  (including  damages  for  loss  of  profits,  goodwill, </w:t>
        <w:br/>
        <w:t>use, or data)</w:t>
      </w:r>
      <w:r>
        <w:rPr/>
        <w:t>” ; </w:t>
        <w:br/>
        <w:t>-  “</w:t>
      </w:r>
      <w:r>
        <w:rPr>
          <w:i/>
        </w:rPr>
        <w:t>our and our affiliates’ and licensors’ aggregate liability under this agreement will be limited to </w:t>
      </w:r>
      <w:r>
        <w:rPr/>
        <w:br/>
      </w:r>
      <w:r>
        <w:rPr>
          <w:i/>
        </w:rPr>
        <w:t>the amount you actually pay us under this agreement for the service that gave rise to the claim </w:t>
        <w:br/>
        <w:t>during the 12 months preceding the claim</w:t>
      </w:r>
      <w:r>
        <w:rPr/>
        <w:t>”. </w:t>
        <w:br/>
        <w:t>En  choisissant  voir  cumulant  ce  type  de  formulations,  le  prestataire  se  met  donc  à  l’abri  de </w:t>
        <w:br/>
        <w:t>nombreuses difficultés. </w:t>
        <w:br/>
      </w:r>
      <w:r>
        <w:rPr>
          <w:b/>
        </w:rPr>
        <w:t>3 -  </w:t>
      </w:r>
      <w:r>
        <w:rPr/>
        <w:t>De  manière  indirecte,  en  prévoyant  généralement  des  définitions  extensives  de  la  “force </w:t>
        <w:br/>
        <w:t>majeure”, les prestataires se réservent par là la possibilité d’exclure leur responsabilité en cas </w:t>
        <w:br/>
        <w:t>de virus informatique. </w:t>
        <w:br/>
        <w:t>En  effet,  pour  être  qualifié  de  cas  de  force  majeure  et  ne  pas  engager  la  responsabilité  des </w:t>
        <w:br/>
        <w:t>parties  en  cas  d’inexécution,  l’évènement  en  cause  doit  remplir  trois  critères  cumulatifs,  à </w:t>
        <w:br/>
        <w:t>savoir être extérieure aux parties (même si ce dernier critère n’est plus retenu de manière aussi </w:t>
        <w:br/>
        <w:t>absolue), imprévisible et irrésistible20. </w:t>
        <w:br/>
        <w:t>                                                        </w:t>
        <w:br/>
        <w:t>20 Article 1148 du Code civil et, pour la définition des trois critères, Cass. Soc. 16 mai 2013, pourvoir n° : 10-17.726. S’agissant d’un </w:t>
        <w:br/>
        <w:t>certain relâchement quant l’exigence du caractère d’extériorité, voir : Cass. Civ. , 30 oct. 2008 : Bull. Civ. I, n°243. </w:t>
        <w:br/>
        <w:t>Alan WALTER </w:t>
        <w:br/>
        <w:t>8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8" w:name="9"/>
      <w:bookmarkEnd w:id="8"/>
      <w:r>
        <w:rPr/>
        <w:drawing>
          <wp:inline distT="0" distB="0" distL="0" distR="0">
            <wp:extent cx="720090" cy="36004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Même si la jurisprudence est rare sur cette question, certaines décisions nous renseignent sur la </w:t>
        <w:br/>
        <w:t>question de la responsabilité de celui qui transmettrait un virus. </w:t>
        <w:br/>
        <w:t>En l’état actuel de la jurisprudence, même si le virus informatique est « un risque connu dans le </w:t>
        <w:br/>
        <w:t>domaine informatique », rien n’empêche que son caractère imprévisible (par son ampleur ?) et </w:t>
        <w:br/>
        <w:t>irrésistible  (faute  de  moyen  pour  combattre  efficacement  un  nouveau  virus ?)  pourrait  être </w:t>
        <w:br/>
        <w:t>démontrés21. </w:t>
        <w:br/>
        <w:t>Dans une telle hypothèse, un prestataire pourrait ainsi exclure sa responsabilité. </w:t>
        <w:br/>
      </w:r>
      <w:r>
        <w:rPr>
          <w:i/>
        </w:rPr>
        <w:t>2.2.1  Le plafonnement voir l’exclusion de responsabilité, même rédigés de manière très large, peuvent </w:t>
      </w:r>
      <w:r>
        <w:rPr/>
        <w:br/>
      </w:r>
      <w:r>
        <w:rPr>
          <w:i/>
        </w:rPr>
        <w:t>être valables </w:t>
      </w:r>
      <w:r>
        <w:rPr/>
        <w:br/>
        <w:t>Laissé à la libre appréciation des parties en raison de la liberté contractuelle, l’aménagement de </w:t>
        <w:br/>
        <w:t>la responsabilité est de droit. </w:t>
        <w:br/>
        <w:t>Contrairement  à  la  responsabilité  délictuelle  (lorsque  la  faute  à  l’origine  du  dommage  est </w:t>
        <w:br/>
        <w:t>constitutive  d’une  infraction),  la  responsabilité  contractuelle  peut  donc  être  encadrée,  limitée </w:t>
        <w:br/>
        <w:t>ou  exclue,  d’un  commun  accord  entre  les  parties22,  sauf  dans  certaines  circonstances, </w:t>
        <w:br/>
        <w:t>limitativement énumérées par la loi et la jurisprudence : </w:t>
        <w:br/>
        <w:t>-  le  dol23.  Si  le  dol  est  prouvé,  la  convention  se  trouve  annulée,  faisant  perdre  toute </w:t>
        <w:br/>
        <w:t>efficacité  aux  clauses  qu’elle  contient.  Dès  lors,  toute  limitation  ou  exclusion  ne  peut </w:t>
        <w:br/>
        <w:t>plus trouver à s’appliquer ; </w:t>
        <w:br/>
        <w:t>-  la  faute  lourde,  qui  entraîne  l’inefficacité  de  la  clause  de  responsabilité,  car  elle  est  la </w:t>
        <w:br/>
        <w:t>faute grossière, quasi-inexcusable, la « </w:t>
      </w:r>
      <w:r>
        <w:rPr>
          <w:i/>
        </w:rPr>
        <w:t>négligence grossière que l’homme le moins averti ne </w:t>
      </w:r>
      <w:r>
        <w:rPr/>
        <w:br/>
      </w:r>
      <w:r>
        <w:rPr>
          <w:i/>
        </w:rPr>
        <w:t>commettrait pas dans la gestion de ses propres affaires</w:t>
      </w:r>
      <w:r>
        <w:rPr/>
        <w:t> »24 ; </w:t>
        <w:br/>
        <w:t>-  les dommages aux personnes, qui, de jurisprudence constante, rend nulle toute clause </w:t>
        <w:br/>
        <w:t>de limitation ou d’exclusion de la responsabilité25. </w:t>
        <w:br/>
        <w:t>Pendant  longtemps,  les  tribunaux  français  ont  hésité  sur  le  sort  à  réserver  aux  clauses  qui </w:t>
        <w:br/>
        <w:t>aménagent la responsabilité des parties en cas de manquement à une obligation essentielle. </w:t>
        <w:br/>
        <w:t>En  effet,  comment  ne  pas  considérer  qu’un  tel  manquement,  s’il  n’est  pas  (ou  peu)  réparé, </w:t>
        <w:br/>
        <w:t>reviendrait à vider de sa substance le contrat en permettant aux parties de ne pas se soumettre </w:t>
        <w:br/>
        <w:t>aux obligations qu’elles ont contracté26. </w:t>
        <w:br/>
        <w:t>Toutefois,  cette  position  des  juridictions  des  juridictions  françaises  s’est  depuis  lors  infléchi, </w:t>
        <w:br/>
        <w:t>considérant  qu’il  peut  ressortir  de  l’équilibre  général  du  contrat  une  limitation  des </w:t>
        <w:br/>
        <w:t>engagements  du  prestataire,  lequel  peut  valablement  aménager,  limiter  et/ou  exclure  sa </w:t>
        <w:br/>
        <w:t>responsabilité27. </w:t>
        <w:br/>
        <w:t> </w:t>
        <w:br/>
        <w:t>                                                        </w:t>
        <w:br/>
        <w:t>21 Cass. Com. 25 novembre 1997, jursidata: 1997-004692. </w:t>
        <w:br/>
        <w:t>22 Cass. Crim. 12 décembre 1946, JCP 1947, II, 3621, note R. Rodière. </w:t>
        <w:br/>
        <w:t>23 Cf. article 1116 du code civil : « </w:t>
      </w:r>
      <w:r>
        <w:rPr>
          <w:i/>
        </w:rPr>
        <w:t>Le dol est une cause de nullité de la convention lorsque les manœuvres pratiquées par l'une des parties sont </w:t>
        <w:br/>
        <w:t>telles, qu'il est évident que, sans ces manœuvres, l'autre partie n'aurait pas contracté</w:t>
      </w:r>
      <w:r>
        <w:rPr/>
        <w:t> ». </w:t>
        <w:br/>
        <w:t>24 Cass. Civ. 1er mai 1983: D. 1983 IR p. 256. </w:t>
        <w:br/>
        <w:t>25 CA Toulouse, 23 octobre 1931 : D. 1935 II p.49 note L. Mazaud. </w:t>
        <w:br/>
        <w:t>26 Voir sur ce point les décisions « Chronopost », en particulier Cass. Com. 22 octobre 1996, Contrats conc. consom. 19987, p. 0 note </w:t>
        <w:br/>
        <w:t>anonyme. </w:t>
        <w:br/>
        <w:t>27 Cass. civ. 1e , 24 février 1993 </w:t>
        <w:br/>
        <w:t>Alan WALTER </w:t>
        <w:br/>
        <w:t>9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9" w:name="10"/>
      <w:bookmarkEnd w:id="9"/>
      <w:r>
        <w:rPr/>
        <w:drawing>
          <wp:inline distT="0" distB="0" distL="0" distR="0">
            <wp:extent cx="720090" cy="36004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* </w:t>
        <w:br/>
        <w:t>* </w:t>
        <w:br/>
        <w:t>* </w:t>
        <w:br/>
        <w:t>* </w:t>
        <w:br/>
        <w:t>* </w:t>
        <w:br/>
        <w:t>Alan WALTER </w:t>
        <w:br/>
        <w:t>10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oto Sans">
    <w:charset w:val="01" w:characterSet="utf-8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Noto Sans" w:hAnsi="Noto San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srv/slapgrid/slappart8/tmp/tmp_jbdxl/unknown-2_1.png" TargetMode="External"/><Relationship Id="rId3" Type="http://schemas.openxmlformats.org/officeDocument/2006/relationships/image" Target="file:///srv/slapgrid/slappart8/tmp/tmp_jbdxl/unknown-3_1.png" TargetMode="External"/><Relationship Id="rId4" Type="http://schemas.openxmlformats.org/officeDocument/2006/relationships/image" Target="file:///srv/slapgrid/slappart8/tmp/tmp_jbdxl/unknown-4_1.png" TargetMode="External"/><Relationship Id="rId5" Type="http://schemas.openxmlformats.org/officeDocument/2006/relationships/image" Target="file:///srv/slapgrid/slappart8/tmp/tmp_jbdxl/unknown-5_1.png" TargetMode="External"/><Relationship Id="rId6" Type="http://schemas.openxmlformats.org/officeDocument/2006/relationships/image" Target="file:///srv/slapgrid/slappart8/tmp/tmp_jbdxl/unknown-6_1.png" TargetMode="External"/><Relationship Id="rId7" Type="http://schemas.openxmlformats.org/officeDocument/2006/relationships/image" Target="file:///srv/slapgrid/slappart8/tmp/tmp_jbdxl/unknown-7_1.png" TargetMode="External"/><Relationship Id="rId8" Type="http://schemas.openxmlformats.org/officeDocument/2006/relationships/image" Target="file:///srv/slapgrid/slappart8/tmp/tmp_jbdxl/unknown-8_1.png" TargetMode="External"/><Relationship Id="rId9" Type="http://schemas.openxmlformats.org/officeDocument/2006/relationships/image" Target="file:///srv/slapgrid/slappart8/tmp/tmp_jbdxl/unknown-9_1.png" TargetMode="External"/><Relationship Id="rId10" Type="http://schemas.openxmlformats.org/officeDocument/2006/relationships/image" Target="file:///srv/slapgrid/slappart8/tmp/tmp_jbdxl/unknown-10_1.pn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4481</Words>
  <Characters>23570</Characters>
  <CharactersWithSpaces>30487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